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A24" w:rsidRPr="00970A24" w:rsidRDefault="00970A24" w:rsidP="00970A24">
      <w:pPr>
        <w:spacing w:line="480" w:lineRule="auto"/>
        <w:rPr>
          <w:rFonts w:ascii="Times New Roman" w:hAnsi="Times New Roman" w:cs="Times New Roman"/>
          <w:sz w:val="24"/>
          <w:szCs w:val="24"/>
        </w:rPr>
      </w:pPr>
    </w:p>
    <w:p w:rsidR="00970A24" w:rsidRPr="00970A24" w:rsidRDefault="00970A24" w:rsidP="00970A24">
      <w:pPr>
        <w:spacing w:line="480" w:lineRule="auto"/>
        <w:rPr>
          <w:rFonts w:ascii="Times New Roman" w:hAnsi="Times New Roman" w:cs="Times New Roman"/>
          <w:sz w:val="24"/>
          <w:szCs w:val="24"/>
        </w:rPr>
      </w:pPr>
    </w:p>
    <w:p w:rsidR="00970A24" w:rsidRPr="00970A24" w:rsidRDefault="00970A24" w:rsidP="00970A24">
      <w:pPr>
        <w:spacing w:line="480" w:lineRule="auto"/>
        <w:rPr>
          <w:rFonts w:ascii="Times New Roman" w:hAnsi="Times New Roman" w:cs="Times New Roman"/>
          <w:sz w:val="24"/>
          <w:szCs w:val="24"/>
        </w:rPr>
      </w:pPr>
    </w:p>
    <w:p w:rsidR="00970A24" w:rsidRPr="00970A24" w:rsidRDefault="00970A24" w:rsidP="00970A24">
      <w:pPr>
        <w:spacing w:line="480" w:lineRule="auto"/>
        <w:rPr>
          <w:rFonts w:ascii="Times New Roman" w:hAnsi="Times New Roman" w:cs="Times New Roman"/>
          <w:sz w:val="24"/>
          <w:szCs w:val="24"/>
        </w:rPr>
      </w:pPr>
    </w:p>
    <w:p w:rsidR="00970A24" w:rsidRPr="00970A24" w:rsidRDefault="00970A24" w:rsidP="00970A24">
      <w:pPr>
        <w:spacing w:line="480" w:lineRule="auto"/>
        <w:rPr>
          <w:rFonts w:ascii="Times New Roman" w:hAnsi="Times New Roman" w:cs="Times New Roman"/>
          <w:sz w:val="24"/>
          <w:szCs w:val="24"/>
        </w:rPr>
      </w:pPr>
    </w:p>
    <w:p w:rsidR="00970A24" w:rsidRPr="00970A24" w:rsidRDefault="00970A24" w:rsidP="00970A24">
      <w:pPr>
        <w:spacing w:line="480" w:lineRule="auto"/>
        <w:rPr>
          <w:rFonts w:ascii="Times New Roman" w:hAnsi="Times New Roman" w:cs="Times New Roman"/>
          <w:sz w:val="24"/>
          <w:szCs w:val="24"/>
        </w:rPr>
      </w:pPr>
    </w:p>
    <w:p w:rsidR="00970A24" w:rsidRPr="00970A24" w:rsidRDefault="00970A24" w:rsidP="00970A24">
      <w:pPr>
        <w:spacing w:line="480" w:lineRule="auto"/>
        <w:jc w:val="center"/>
        <w:rPr>
          <w:rFonts w:ascii="Times New Roman" w:hAnsi="Times New Roman" w:cs="Times New Roman"/>
          <w:sz w:val="24"/>
          <w:szCs w:val="24"/>
        </w:rPr>
      </w:pPr>
      <w:r w:rsidRPr="00970A24">
        <w:rPr>
          <w:rFonts w:ascii="Times New Roman" w:hAnsi="Times New Roman" w:cs="Times New Roman"/>
          <w:sz w:val="24"/>
          <w:szCs w:val="24"/>
        </w:rPr>
        <w:t>Law Reform Process Effectiveness</w:t>
      </w:r>
    </w:p>
    <w:p w:rsidR="00970A24" w:rsidRPr="00970A24" w:rsidRDefault="00970A24" w:rsidP="00970A24">
      <w:pPr>
        <w:spacing w:line="480" w:lineRule="auto"/>
        <w:jc w:val="center"/>
        <w:rPr>
          <w:rFonts w:ascii="Times New Roman" w:hAnsi="Times New Roman" w:cs="Times New Roman"/>
          <w:sz w:val="24"/>
          <w:szCs w:val="24"/>
        </w:rPr>
      </w:pPr>
      <w:r w:rsidRPr="00970A24">
        <w:rPr>
          <w:rFonts w:ascii="Times New Roman" w:hAnsi="Times New Roman" w:cs="Times New Roman"/>
          <w:sz w:val="24"/>
          <w:szCs w:val="24"/>
        </w:rPr>
        <w:t>Name of Student</w:t>
      </w:r>
    </w:p>
    <w:p w:rsidR="00970A24" w:rsidRPr="00970A24" w:rsidRDefault="00970A24" w:rsidP="00970A24">
      <w:pPr>
        <w:spacing w:line="480" w:lineRule="auto"/>
        <w:jc w:val="center"/>
        <w:rPr>
          <w:rFonts w:ascii="Times New Roman" w:hAnsi="Times New Roman" w:cs="Times New Roman"/>
          <w:sz w:val="24"/>
          <w:szCs w:val="24"/>
        </w:rPr>
      </w:pPr>
      <w:r w:rsidRPr="00970A24">
        <w:rPr>
          <w:rFonts w:ascii="Times New Roman" w:hAnsi="Times New Roman" w:cs="Times New Roman"/>
          <w:sz w:val="24"/>
          <w:szCs w:val="24"/>
        </w:rPr>
        <w:t>Name of Institution</w:t>
      </w:r>
    </w:p>
    <w:p w:rsidR="00970A24" w:rsidRPr="00970A24" w:rsidRDefault="00970A24" w:rsidP="00970A24">
      <w:pPr>
        <w:spacing w:line="480" w:lineRule="auto"/>
        <w:jc w:val="center"/>
        <w:rPr>
          <w:rFonts w:ascii="Times New Roman" w:hAnsi="Times New Roman" w:cs="Times New Roman"/>
          <w:sz w:val="24"/>
          <w:szCs w:val="24"/>
        </w:rPr>
      </w:pPr>
      <w:r w:rsidRPr="00970A24">
        <w:rPr>
          <w:rFonts w:ascii="Times New Roman" w:hAnsi="Times New Roman" w:cs="Times New Roman"/>
          <w:sz w:val="24"/>
          <w:szCs w:val="24"/>
        </w:rPr>
        <w:t>Date</w:t>
      </w:r>
      <w:r w:rsidRPr="00970A24">
        <w:rPr>
          <w:rFonts w:ascii="Times New Roman" w:hAnsi="Times New Roman" w:cs="Times New Roman"/>
          <w:sz w:val="24"/>
          <w:szCs w:val="24"/>
        </w:rPr>
        <w:br w:type="page"/>
      </w:r>
    </w:p>
    <w:p w:rsidR="00357BFE" w:rsidRPr="00970A24" w:rsidRDefault="00357BFE" w:rsidP="00970A24">
      <w:pPr>
        <w:spacing w:line="480" w:lineRule="auto"/>
        <w:ind w:firstLine="720"/>
        <w:rPr>
          <w:rFonts w:ascii="Times New Roman" w:hAnsi="Times New Roman" w:cs="Times New Roman"/>
          <w:sz w:val="24"/>
          <w:szCs w:val="24"/>
        </w:rPr>
      </w:pPr>
      <w:r w:rsidRPr="00970A24">
        <w:rPr>
          <w:rFonts w:ascii="Times New Roman" w:hAnsi="Times New Roman" w:cs="Times New Roman"/>
          <w:sz w:val="24"/>
          <w:szCs w:val="24"/>
        </w:rPr>
        <w:lastRenderedPageBreak/>
        <w:t>The reform indicated a significant alteration to the homicide law with additional exceptional features which was rushed. The intention behind the introduction of these laws was to curb violent incidence related to alcohol consumption. It took just ten days from the day the policy was announced to commencing it as legislation, with just a single day in parliament. Legal professional and NSWLRC are experts in the fields that were altered, and there is no evidence of consultation prior to reform. Media coverage involve painting a poor image of the government and highlighting that they had no significant efforts that were directed at appeasing the community, which led to the production of the one punch law. The law is defined in legal parameters as assault causing death.</w:t>
      </w:r>
    </w:p>
    <w:p w:rsidR="00B72541" w:rsidRPr="00970A24" w:rsidRDefault="00B72541" w:rsidP="00970A24">
      <w:pPr>
        <w:spacing w:line="480" w:lineRule="auto"/>
        <w:ind w:firstLine="720"/>
        <w:rPr>
          <w:rFonts w:ascii="Times New Roman" w:hAnsi="Times New Roman" w:cs="Times New Roman"/>
          <w:sz w:val="24"/>
          <w:szCs w:val="24"/>
        </w:rPr>
      </w:pPr>
      <w:r w:rsidRPr="00970A24">
        <w:rPr>
          <w:rFonts w:ascii="Times New Roman" w:hAnsi="Times New Roman" w:cs="Times New Roman"/>
          <w:sz w:val="24"/>
          <w:szCs w:val="24"/>
        </w:rPr>
        <w:t>The examination of laws that are already in place</w:t>
      </w:r>
      <w:r w:rsidR="0024307D" w:rsidRPr="00970A24">
        <w:rPr>
          <w:rFonts w:ascii="Times New Roman" w:hAnsi="Times New Roman" w:cs="Times New Roman"/>
          <w:sz w:val="24"/>
          <w:szCs w:val="24"/>
        </w:rPr>
        <w:t>, to advocate and implement changes defines the process involved in law reform. Also termed as legal reform, the process is intended at increasing efficiency or the enhancement of justice. Organizational bodies are set up to facilitate and promote the legal reform process, many of whom are set up by the government as statutory corporations. Independence from the government is necessary so that their reports and reflections demonstrate intellectual freedoms. Towards this mandate, they are required to research and propose recommendations on means of simplifying and modernizing the stipulations of law. The term</w:t>
      </w:r>
      <w:r w:rsidR="005B7A66" w:rsidRPr="00970A24">
        <w:rPr>
          <w:rFonts w:ascii="Times New Roman" w:hAnsi="Times New Roman" w:cs="Times New Roman"/>
          <w:sz w:val="24"/>
          <w:szCs w:val="24"/>
        </w:rPr>
        <w:t xml:space="preserve"> reform and the process of legal reform cover the codification, statutory revision and consolidation, and development</w:t>
      </w:r>
      <w:r w:rsidR="0024307D" w:rsidRPr="00970A24">
        <w:rPr>
          <w:rFonts w:ascii="Times New Roman" w:hAnsi="Times New Roman" w:cs="Times New Roman"/>
          <w:sz w:val="24"/>
          <w:szCs w:val="24"/>
        </w:rPr>
        <w:t xml:space="preserve"> </w:t>
      </w:r>
      <w:r w:rsidR="005B7A66" w:rsidRPr="00970A24">
        <w:rPr>
          <w:rFonts w:ascii="Times New Roman" w:hAnsi="Times New Roman" w:cs="Times New Roman"/>
          <w:sz w:val="24"/>
          <w:szCs w:val="24"/>
        </w:rPr>
        <w:t xml:space="preserve">of any branch of the law. </w:t>
      </w:r>
    </w:p>
    <w:p w:rsidR="00051954" w:rsidRPr="00970A24" w:rsidRDefault="005B7A66" w:rsidP="00970A24">
      <w:pPr>
        <w:spacing w:line="480" w:lineRule="auto"/>
        <w:ind w:firstLine="720"/>
        <w:rPr>
          <w:rFonts w:ascii="Times New Roman" w:hAnsi="Times New Roman" w:cs="Times New Roman"/>
          <w:sz w:val="24"/>
          <w:szCs w:val="24"/>
        </w:rPr>
      </w:pPr>
      <w:r w:rsidRPr="00970A24">
        <w:rPr>
          <w:rFonts w:ascii="Times New Roman" w:hAnsi="Times New Roman" w:cs="Times New Roman"/>
          <w:sz w:val="24"/>
          <w:szCs w:val="24"/>
        </w:rPr>
        <w:t xml:space="preserve">The law defines assault as the threat or act of inflicting physical harm or unwanted physical contact upon a person. The description makes it both a crime and a civil liability. Aggravated assault represents a stronger form of assault and usually involved the use of a deadly weapon. </w:t>
      </w:r>
      <w:r w:rsidR="001D787B" w:rsidRPr="00970A24">
        <w:rPr>
          <w:rFonts w:ascii="Times New Roman" w:hAnsi="Times New Roman" w:cs="Times New Roman"/>
          <w:sz w:val="24"/>
          <w:szCs w:val="24"/>
        </w:rPr>
        <w:t>Assault causing death and aggravated assault causing death are two reforms that were passed in Australia under homicide. The reform follows and incident on the 7</w:t>
      </w:r>
      <w:r w:rsidR="001D787B" w:rsidRPr="00970A24">
        <w:rPr>
          <w:rFonts w:ascii="Times New Roman" w:hAnsi="Times New Roman" w:cs="Times New Roman"/>
          <w:sz w:val="24"/>
          <w:szCs w:val="24"/>
          <w:vertAlign w:val="superscript"/>
        </w:rPr>
        <w:t>th</w:t>
      </w:r>
      <w:r w:rsidR="001D787B" w:rsidRPr="00970A24">
        <w:rPr>
          <w:rFonts w:ascii="Times New Roman" w:hAnsi="Times New Roman" w:cs="Times New Roman"/>
          <w:sz w:val="24"/>
          <w:szCs w:val="24"/>
        </w:rPr>
        <w:t xml:space="preserve"> of July in 2012 </w:t>
      </w:r>
      <w:r w:rsidR="001D787B" w:rsidRPr="00970A24">
        <w:rPr>
          <w:rFonts w:ascii="Times New Roman" w:hAnsi="Times New Roman" w:cs="Times New Roman"/>
          <w:sz w:val="24"/>
          <w:szCs w:val="24"/>
        </w:rPr>
        <w:lastRenderedPageBreak/>
        <w:t>when Thomas Kelly was hit on the head by Keiran Loveridge and died after two days. Kieran was sentenced to 6 years for manslaughter and the AG asked the DPP to consider appeal. The AG announced the possibility of a ‘one punch’ law four days later which created and passed subsection 25A about assault causing death offences in 30</w:t>
      </w:r>
      <w:r w:rsidR="001D787B" w:rsidRPr="00970A24">
        <w:rPr>
          <w:rFonts w:ascii="Times New Roman" w:hAnsi="Times New Roman" w:cs="Times New Roman"/>
          <w:sz w:val="24"/>
          <w:szCs w:val="24"/>
          <w:vertAlign w:val="superscript"/>
        </w:rPr>
        <w:t>th</w:t>
      </w:r>
      <w:r w:rsidR="001D787B" w:rsidRPr="00970A24">
        <w:rPr>
          <w:rFonts w:ascii="Times New Roman" w:hAnsi="Times New Roman" w:cs="Times New Roman"/>
          <w:sz w:val="24"/>
          <w:szCs w:val="24"/>
        </w:rPr>
        <w:t xml:space="preserve"> January </w:t>
      </w:r>
      <w:r w:rsidR="00357BFE" w:rsidRPr="00970A24">
        <w:rPr>
          <w:rFonts w:ascii="Times New Roman" w:hAnsi="Times New Roman" w:cs="Times New Roman"/>
          <w:sz w:val="24"/>
          <w:szCs w:val="24"/>
        </w:rPr>
        <w:t>2014.</w:t>
      </w:r>
    </w:p>
    <w:p w:rsidR="00357BFE" w:rsidRPr="00970A24" w:rsidRDefault="007F7632" w:rsidP="00970A24">
      <w:pPr>
        <w:spacing w:line="480" w:lineRule="auto"/>
        <w:ind w:firstLine="720"/>
        <w:rPr>
          <w:rFonts w:ascii="Times New Roman" w:hAnsi="Times New Roman" w:cs="Times New Roman"/>
          <w:sz w:val="24"/>
          <w:szCs w:val="24"/>
        </w:rPr>
      </w:pPr>
      <w:r w:rsidRPr="00970A24">
        <w:rPr>
          <w:rFonts w:ascii="Times New Roman" w:hAnsi="Times New Roman" w:cs="Times New Roman"/>
          <w:sz w:val="24"/>
          <w:szCs w:val="24"/>
        </w:rPr>
        <w:t>Within the number of days that it took expert groups were not consulted. The experts groups in this context include the NSW Law Commission Reform</w:t>
      </w:r>
      <w:r w:rsidR="006400AF" w:rsidRPr="00970A24">
        <w:rPr>
          <w:rFonts w:ascii="Times New Roman" w:hAnsi="Times New Roman" w:cs="Times New Roman"/>
          <w:sz w:val="24"/>
          <w:szCs w:val="24"/>
        </w:rPr>
        <w:t xml:space="preserve"> and the NSW Parliament’s Legislation Review Committee</w:t>
      </w:r>
      <w:r w:rsidRPr="00970A24">
        <w:rPr>
          <w:rFonts w:ascii="Times New Roman" w:hAnsi="Times New Roman" w:cs="Times New Roman"/>
          <w:sz w:val="24"/>
          <w:szCs w:val="24"/>
        </w:rPr>
        <w:t>. This facilitated the speed at which the bills passed both houses, which is characterized by the lack of sufficient amendments to the introduced draft. The speed is further demonstrated in the implementation of the bills which after receiving assent commenced operations the very next day. They were introduced by the premier alongside other reforms which are characterized by a lack of clarity in provision of details of elements within the reform of such offenses. The frequency at which they were adopted, their possible on the disqualification of licenses and unpaid fines, and imprisonment for driving whilst disqualified illustrates that they are descriptive of a lack of principle</w:t>
      </w:r>
      <w:r w:rsidR="00970A24" w:rsidRPr="00970A24">
        <w:rPr>
          <w:rFonts w:ascii="Times New Roman" w:hAnsi="Times New Roman" w:cs="Times New Roman"/>
          <w:sz w:val="24"/>
          <w:szCs w:val="24"/>
        </w:rPr>
        <w:t xml:space="preserve"> </w:t>
      </w:r>
      <w:sdt>
        <w:sdtPr>
          <w:rPr>
            <w:rFonts w:ascii="Times New Roman" w:hAnsi="Times New Roman" w:cs="Times New Roman"/>
            <w:sz w:val="24"/>
            <w:szCs w:val="24"/>
          </w:rPr>
          <w:id w:val="291221331"/>
          <w:citation/>
        </w:sdtPr>
        <w:sdtContent>
          <w:r w:rsidR="00970A24" w:rsidRPr="00970A24">
            <w:rPr>
              <w:rFonts w:ascii="Times New Roman" w:hAnsi="Times New Roman" w:cs="Times New Roman"/>
              <w:sz w:val="24"/>
              <w:szCs w:val="24"/>
            </w:rPr>
            <w:fldChar w:fldCharType="begin"/>
          </w:r>
          <w:r w:rsidR="00970A24" w:rsidRPr="00970A24">
            <w:rPr>
              <w:rFonts w:ascii="Times New Roman" w:hAnsi="Times New Roman" w:cs="Times New Roman"/>
              <w:sz w:val="24"/>
              <w:szCs w:val="24"/>
            </w:rPr>
            <w:instrText xml:space="preserve"> CITATION Aus14 \l 1033 </w:instrText>
          </w:r>
          <w:r w:rsidR="00970A24" w:rsidRPr="00970A24">
            <w:rPr>
              <w:rFonts w:ascii="Times New Roman" w:hAnsi="Times New Roman" w:cs="Times New Roman"/>
              <w:sz w:val="24"/>
              <w:szCs w:val="24"/>
            </w:rPr>
            <w:fldChar w:fldCharType="separate"/>
          </w:r>
          <w:r w:rsidR="00970A24" w:rsidRPr="00970A24">
            <w:rPr>
              <w:rFonts w:ascii="Times New Roman" w:hAnsi="Times New Roman" w:cs="Times New Roman"/>
              <w:noProof/>
              <w:sz w:val="24"/>
              <w:szCs w:val="24"/>
            </w:rPr>
            <w:t>(Australia's Magna Carta Institute; Rule of Law Education, 2014)</w:t>
          </w:r>
          <w:r w:rsidR="00970A24" w:rsidRPr="00970A24">
            <w:rPr>
              <w:rFonts w:ascii="Times New Roman" w:hAnsi="Times New Roman" w:cs="Times New Roman"/>
              <w:sz w:val="24"/>
              <w:szCs w:val="24"/>
            </w:rPr>
            <w:fldChar w:fldCharType="end"/>
          </w:r>
        </w:sdtContent>
      </w:sdt>
      <w:r w:rsidRPr="00970A24">
        <w:rPr>
          <w:rFonts w:ascii="Times New Roman" w:hAnsi="Times New Roman" w:cs="Times New Roman"/>
          <w:sz w:val="24"/>
          <w:szCs w:val="24"/>
        </w:rPr>
        <w:t xml:space="preserve">. The two reforms in question </w:t>
      </w:r>
      <w:r w:rsidR="00C240E1" w:rsidRPr="00970A24">
        <w:rPr>
          <w:rFonts w:ascii="Times New Roman" w:hAnsi="Times New Roman" w:cs="Times New Roman"/>
          <w:sz w:val="24"/>
          <w:szCs w:val="24"/>
        </w:rPr>
        <w:t xml:space="preserve">produce a lack of coherence in criminal law with lacking critical details. The lack of amendments illustrates a fundamental lack of regard for the opinions of lobbyist and politicians, and thus may prove ineffective in the delivery of the promise of effective crime prevention. </w:t>
      </w:r>
    </w:p>
    <w:p w:rsidR="00110241" w:rsidRPr="00970A24" w:rsidRDefault="00C240E1" w:rsidP="00970A24">
      <w:pPr>
        <w:spacing w:line="480" w:lineRule="auto"/>
        <w:ind w:firstLine="720"/>
        <w:rPr>
          <w:rFonts w:ascii="Times New Roman" w:hAnsi="Times New Roman" w:cs="Times New Roman"/>
          <w:sz w:val="24"/>
          <w:szCs w:val="24"/>
        </w:rPr>
      </w:pPr>
      <w:r w:rsidRPr="00970A24">
        <w:rPr>
          <w:rFonts w:ascii="Times New Roman" w:hAnsi="Times New Roman" w:cs="Times New Roman"/>
          <w:sz w:val="24"/>
          <w:szCs w:val="24"/>
        </w:rPr>
        <w:t xml:space="preserve">In consideration of the public and intense media campaign, pitfalls of operational difficulty, lack of coherence, and poor drafting represent a knee-jerk ‘law and order’ response. Therefore, the reform is not a representative of the wish of the people, as much as it has been advertised as such. There is lack of translation with regards to the subsections covering ‘assault causing death’ and ‘aggravated assault causing death.’  </w:t>
      </w:r>
      <w:r w:rsidR="00110241" w:rsidRPr="00970A24">
        <w:rPr>
          <w:rFonts w:ascii="Times New Roman" w:hAnsi="Times New Roman" w:cs="Times New Roman"/>
          <w:sz w:val="24"/>
          <w:szCs w:val="24"/>
        </w:rPr>
        <w:t xml:space="preserve">Both offenses as highlighted provide a </w:t>
      </w:r>
      <w:r w:rsidR="00110241" w:rsidRPr="00970A24">
        <w:rPr>
          <w:rFonts w:ascii="Times New Roman" w:hAnsi="Times New Roman" w:cs="Times New Roman"/>
          <w:sz w:val="24"/>
          <w:szCs w:val="24"/>
        </w:rPr>
        <w:lastRenderedPageBreak/>
        <w:t>critical illustration of ‘policy transfer’ to the common law states from the Code Jurisdictions in the country. Lack of coherence is also evident in the failure of the reform to address the nature of the crimes</w:t>
      </w:r>
      <w:r w:rsidR="00970A24" w:rsidRPr="00970A24">
        <w:rPr>
          <w:rFonts w:ascii="Times New Roman" w:hAnsi="Times New Roman" w:cs="Times New Roman"/>
          <w:sz w:val="24"/>
          <w:szCs w:val="24"/>
        </w:rPr>
        <w:t xml:space="preserve"> </w:t>
      </w:r>
      <w:sdt>
        <w:sdtPr>
          <w:rPr>
            <w:rFonts w:ascii="Times New Roman" w:hAnsi="Times New Roman" w:cs="Times New Roman"/>
            <w:sz w:val="24"/>
            <w:szCs w:val="24"/>
          </w:rPr>
          <w:id w:val="291221330"/>
          <w:citation/>
        </w:sdtPr>
        <w:sdtContent>
          <w:r w:rsidR="00970A24" w:rsidRPr="00970A24">
            <w:rPr>
              <w:rFonts w:ascii="Times New Roman" w:hAnsi="Times New Roman" w:cs="Times New Roman"/>
              <w:sz w:val="24"/>
              <w:szCs w:val="24"/>
            </w:rPr>
            <w:fldChar w:fldCharType="begin"/>
          </w:r>
          <w:r w:rsidR="00970A24" w:rsidRPr="00970A24">
            <w:rPr>
              <w:rFonts w:ascii="Times New Roman" w:hAnsi="Times New Roman" w:cs="Times New Roman"/>
              <w:sz w:val="24"/>
              <w:szCs w:val="24"/>
            </w:rPr>
            <w:instrText xml:space="preserve"> CITATION Aus14 \l 1033 </w:instrText>
          </w:r>
          <w:r w:rsidR="00970A24" w:rsidRPr="00970A24">
            <w:rPr>
              <w:rFonts w:ascii="Times New Roman" w:hAnsi="Times New Roman" w:cs="Times New Roman"/>
              <w:sz w:val="24"/>
              <w:szCs w:val="24"/>
            </w:rPr>
            <w:fldChar w:fldCharType="separate"/>
          </w:r>
          <w:r w:rsidR="00970A24" w:rsidRPr="00970A24">
            <w:rPr>
              <w:rFonts w:ascii="Times New Roman" w:hAnsi="Times New Roman" w:cs="Times New Roman"/>
              <w:noProof/>
              <w:sz w:val="24"/>
              <w:szCs w:val="24"/>
            </w:rPr>
            <w:t>(Australia's Magna Carta Institute; Rule of Law Education, 2014)</w:t>
          </w:r>
          <w:r w:rsidR="00970A24" w:rsidRPr="00970A24">
            <w:rPr>
              <w:rFonts w:ascii="Times New Roman" w:hAnsi="Times New Roman" w:cs="Times New Roman"/>
              <w:sz w:val="24"/>
              <w:szCs w:val="24"/>
            </w:rPr>
            <w:fldChar w:fldCharType="end"/>
          </w:r>
        </w:sdtContent>
      </w:sdt>
      <w:r w:rsidR="00110241" w:rsidRPr="00970A24">
        <w:rPr>
          <w:rFonts w:ascii="Times New Roman" w:hAnsi="Times New Roman" w:cs="Times New Roman"/>
          <w:sz w:val="24"/>
          <w:szCs w:val="24"/>
        </w:rPr>
        <w:t>. Not addressing how the offenses fit to the existing hierarchy of crimes under fatality in homicide demonstrates lack of principled consideration, and also undermines the principle of fair labeling. Particularism and criminal law drafting ca be categorically defined as vices in this regard given that the description handed down for the offenses is both confusing and complex. There is a high expectation for real and affirmative action behind the policies under the ‘one punch’ initiative</w:t>
      </w:r>
      <w:r w:rsidR="007F1577" w:rsidRPr="00970A24">
        <w:rPr>
          <w:rFonts w:ascii="Times New Roman" w:hAnsi="Times New Roman" w:cs="Times New Roman"/>
          <w:sz w:val="24"/>
          <w:szCs w:val="24"/>
        </w:rPr>
        <w:t xml:space="preserve"> that are labeled tough and effective response to alcohol-based violence</w:t>
      </w:r>
      <w:r w:rsidR="00110241" w:rsidRPr="00970A24">
        <w:rPr>
          <w:rFonts w:ascii="Times New Roman" w:hAnsi="Times New Roman" w:cs="Times New Roman"/>
          <w:sz w:val="24"/>
          <w:szCs w:val="24"/>
        </w:rPr>
        <w:t xml:space="preserve">. However, their framing will lead to operational difficulties, thus the expectations will lead to a disappointed community. </w:t>
      </w:r>
    </w:p>
    <w:p w:rsidR="00970A24" w:rsidRPr="00970A24" w:rsidRDefault="006400AF" w:rsidP="00970A24">
      <w:pPr>
        <w:spacing w:line="480" w:lineRule="auto"/>
        <w:ind w:firstLine="720"/>
        <w:rPr>
          <w:rFonts w:ascii="Times New Roman" w:hAnsi="Times New Roman" w:cs="Times New Roman"/>
          <w:sz w:val="24"/>
          <w:szCs w:val="24"/>
        </w:rPr>
      </w:pPr>
      <w:r w:rsidRPr="00970A24">
        <w:rPr>
          <w:rFonts w:ascii="Times New Roman" w:hAnsi="Times New Roman" w:cs="Times New Roman"/>
          <w:sz w:val="24"/>
          <w:szCs w:val="24"/>
        </w:rPr>
        <w:t>The penalties can be described as draconian</w:t>
      </w:r>
      <w:r w:rsidR="00970A24" w:rsidRPr="00970A24">
        <w:rPr>
          <w:rFonts w:ascii="Times New Roman" w:hAnsi="Times New Roman" w:cs="Times New Roman"/>
          <w:sz w:val="24"/>
          <w:szCs w:val="24"/>
        </w:rPr>
        <w:t xml:space="preserve"> </w:t>
      </w:r>
      <w:sdt>
        <w:sdtPr>
          <w:rPr>
            <w:rFonts w:ascii="Times New Roman" w:hAnsi="Times New Roman" w:cs="Times New Roman"/>
            <w:sz w:val="24"/>
            <w:szCs w:val="24"/>
          </w:rPr>
          <w:id w:val="291221329"/>
          <w:citation/>
        </w:sdtPr>
        <w:sdtContent>
          <w:r w:rsidR="00970A24" w:rsidRPr="00970A24">
            <w:rPr>
              <w:rFonts w:ascii="Times New Roman" w:hAnsi="Times New Roman" w:cs="Times New Roman"/>
              <w:sz w:val="24"/>
              <w:szCs w:val="24"/>
            </w:rPr>
            <w:fldChar w:fldCharType="begin"/>
          </w:r>
          <w:r w:rsidR="00970A24" w:rsidRPr="00970A24">
            <w:rPr>
              <w:rFonts w:ascii="Times New Roman" w:hAnsi="Times New Roman" w:cs="Times New Roman"/>
              <w:sz w:val="24"/>
              <w:szCs w:val="24"/>
            </w:rPr>
            <w:instrText xml:space="preserve"> CITATION Qui14 \l 1033 </w:instrText>
          </w:r>
          <w:r w:rsidR="00970A24" w:rsidRPr="00970A24">
            <w:rPr>
              <w:rFonts w:ascii="Times New Roman" w:hAnsi="Times New Roman" w:cs="Times New Roman"/>
              <w:sz w:val="24"/>
              <w:szCs w:val="24"/>
            </w:rPr>
            <w:fldChar w:fldCharType="separate"/>
          </w:r>
          <w:r w:rsidR="00970A24" w:rsidRPr="00970A24">
            <w:rPr>
              <w:rFonts w:ascii="Times New Roman" w:hAnsi="Times New Roman" w:cs="Times New Roman"/>
              <w:noProof/>
              <w:sz w:val="24"/>
              <w:szCs w:val="24"/>
            </w:rPr>
            <w:t>(Quilter, 2014)</w:t>
          </w:r>
          <w:r w:rsidR="00970A24" w:rsidRPr="00970A24">
            <w:rPr>
              <w:rFonts w:ascii="Times New Roman" w:hAnsi="Times New Roman" w:cs="Times New Roman"/>
              <w:sz w:val="24"/>
              <w:szCs w:val="24"/>
            </w:rPr>
            <w:fldChar w:fldCharType="end"/>
          </w:r>
        </w:sdtContent>
      </w:sdt>
      <w:r w:rsidR="00970A24" w:rsidRPr="00970A24">
        <w:rPr>
          <w:rFonts w:ascii="Times New Roman" w:hAnsi="Times New Roman" w:cs="Times New Roman"/>
          <w:sz w:val="24"/>
          <w:szCs w:val="24"/>
        </w:rPr>
        <w:t>,</w:t>
      </w:r>
      <w:r w:rsidRPr="00970A24">
        <w:rPr>
          <w:rFonts w:ascii="Times New Roman" w:hAnsi="Times New Roman" w:cs="Times New Roman"/>
          <w:sz w:val="24"/>
          <w:szCs w:val="24"/>
        </w:rPr>
        <w:t xml:space="preserve"> and the reforms did not leave a window of opportunity for consideration or emergence of the same that may impact application of the reform to better address the alcohol based violence. The speed of implementation and adoption, and the lack of consideration detail lack of a conducive environment that is necessary to fulfill the expectation of the public. There is also a lack of guarantee with the reforms in the context of the penalties detailed within. Therefore, the process of reform for both reforms is not conducive and effective in terms of application and adoption. </w:t>
      </w:r>
    </w:p>
    <w:p w:rsidR="00970A24" w:rsidRPr="00970A24" w:rsidRDefault="00970A24" w:rsidP="00970A24">
      <w:pPr>
        <w:spacing w:line="480" w:lineRule="auto"/>
        <w:rPr>
          <w:rFonts w:ascii="Times New Roman" w:hAnsi="Times New Roman" w:cs="Times New Roman"/>
          <w:sz w:val="24"/>
          <w:szCs w:val="24"/>
        </w:rPr>
      </w:pPr>
      <w:r w:rsidRPr="00970A24">
        <w:rPr>
          <w:rFonts w:ascii="Times New Roman" w:hAnsi="Times New Roman" w:cs="Times New Roman"/>
          <w:sz w:val="24"/>
          <w:szCs w:val="24"/>
        </w:rPr>
        <w:br w:type="page"/>
      </w:r>
    </w:p>
    <w:sdt>
      <w:sdtPr>
        <w:rPr>
          <w:rFonts w:ascii="Times New Roman" w:hAnsi="Times New Roman" w:cs="Times New Roman"/>
          <w:sz w:val="24"/>
          <w:szCs w:val="24"/>
        </w:rPr>
        <w:id w:val="291221332"/>
        <w:docPartObj>
          <w:docPartGallery w:val="Bibliographies"/>
          <w:docPartUnique/>
        </w:docPartObj>
      </w:sdtPr>
      <w:sdtEndPr>
        <w:rPr>
          <w:rFonts w:eastAsiaTheme="minorEastAsia"/>
          <w:b w:val="0"/>
          <w:bCs w:val="0"/>
          <w:color w:val="auto"/>
          <w:lang w:bidi="ar-SA"/>
        </w:rPr>
      </w:sdtEndPr>
      <w:sdtContent>
        <w:p w:rsidR="00970A24" w:rsidRPr="00970A24" w:rsidRDefault="00970A24" w:rsidP="00970A24">
          <w:pPr>
            <w:pStyle w:val="Heading1"/>
            <w:spacing w:line="480" w:lineRule="auto"/>
            <w:jc w:val="center"/>
            <w:rPr>
              <w:rFonts w:ascii="Times New Roman" w:hAnsi="Times New Roman" w:cs="Times New Roman"/>
              <w:sz w:val="24"/>
              <w:szCs w:val="24"/>
            </w:rPr>
          </w:pPr>
          <w:r w:rsidRPr="00970A24">
            <w:rPr>
              <w:rFonts w:ascii="Times New Roman" w:hAnsi="Times New Roman" w:cs="Times New Roman"/>
              <w:sz w:val="24"/>
              <w:szCs w:val="24"/>
            </w:rPr>
            <w:t>References</w:t>
          </w:r>
          <w:r w:rsidRPr="00970A24">
            <w:rPr>
              <w:rFonts w:ascii="Times New Roman" w:hAnsi="Times New Roman" w:cs="Times New Roman"/>
              <w:sz w:val="24"/>
              <w:szCs w:val="24"/>
            </w:rPr>
            <w:tab/>
          </w:r>
        </w:p>
        <w:sdt>
          <w:sdtPr>
            <w:rPr>
              <w:rFonts w:ascii="Times New Roman" w:hAnsi="Times New Roman" w:cs="Times New Roman"/>
              <w:sz w:val="24"/>
              <w:szCs w:val="24"/>
            </w:rPr>
            <w:id w:val="111145805"/>
            <w:bibliography/>
          </w:sdtPr>
          <w:sdtContent>
            <w:p w:rsidR="00970A24" w:rsidRPr="00970A24" w:rsidRDefault="00970A24" w:rsidP="00970A24">
              <w:pPr>
                <w:pStyle w:val="Bibliography"/>
                <w:spacing w:line="480" w:lineRule="auto"/>
                <w:ind w:left="720" w:hanging="720"/>
                <w:rPr>
                  <w:rFonts w:ascii="Times New Roman" w:hAnsi="Times New Roman" w:cs="Times New Roman"/>
                  <w:noProof/>
                  <w:sz w:val="24"/>
                  <w:szCs w:val="24"/>
                </w:rPr>
              </w:pPr>
              <w:r w:rsidRPr="00970A24">
                <w:rPr>
                  <w:rFonts w:ascii="Times New Roman" w:hAnsi="Times New Roman" w:cs="Times New Roman"/>
                  <w:sz w:val="24"/>
                  <w:szCs w:val="24"/>
                </w:rPr>
                <w:fldChar w:fldCharType="begin"/>
              </w:r>
              <w:r w:rsidRPr="00970A24">
                <w:rPr>
                  <w:rFonts w:ascii="Times New Roman" w:hAnsi="Times New Roman" w:cs="Times New Roman"/>
                  <w:sz w:val="24"/>
                  <w:szCs w:val="24"/>
                </w:rPr>
                <w:instrText xml:space="preserve"> BIBLIOGRAPHY </w:instrText>
              </w:r>
              <w:r w:rsidRPr="00970A24">
                <w:rPr>
                  <w:rFonts w:ascii="Times New Roman" w:hAnsi="Times New Roman" w:cs="Times New Roman"/>
                  <w:sz w:val="24"/>
                  <w:szCs w:val="24"/>
                </w:rPr>
                <w:fldChar w:fldCharType="separate"/>
              </w:r>
              <w:r w:rsidRPr="00970A24">
                <w:rPr>
                  <w:rFonts w:ascii="Times New Roman" w:hAnsi="Times New Roman" w:cs="Times New Roman"/>
                  <w:noProof/>
                  <w:sz w:val="24"/>
                  <w:szCs w:val="24"/>
                </w:rPr>
                <w:t xml:space="preserve">Australia's Magna Carta Institute; Rule of Law Education. (2014, February 5). </w:t>
              </w:r>
              <w:r w:rsidRPr="00970A24">
                <w:rPr>
                  <w:rFonts w:ascii="Times New Roman" w:hAnsi="Times New Roman" w:cs="Times New Roman"/>
                  <w:i/>
                  <w:iCs/>
                  <w:noProof/>
                  <w:sz w:val="24"/>
                  <w:szCs w:val="24"/>
                </w:rPr>
                <w:t>Explainer; Assault Causing Death in NSW 2014</w:t>
              </w:r>
              <w:r w:rsidRPr="00970A24">
                <w:rPr>
                  <w:rFonts w:ascii="Times New Roman" w:hAnsi="Times New Roman" w:cs="Times New Roman"/>
                  <w:noProof/>
                  <w:sz w:val="24"/>
                  <w:szCs w:val="24"/>
                </w:rPr>
                <w:t>. Retrieved July 23, 2019, from Australia's Magna Carta Institute; Rule of Law Education: https://www.ruleoflaw.org.au/assault-causing-death-nsw/</w:t>
              </w:r>
            </w:p>
            <w:p w:rsidR="00970A24" w:rsidRPr="00970A24" w:rsidRDefault="00970A24" w:rsidP="00970A24">
              <w:pPr>
                <w:pStyle w:val="Bibliography"/>
                <w:spacing w:line="480" w:lineRule="auto"/>
                <w:ind w:left="720" w:hanging="720"/>
                <w:rPr>
                  <w:rFonts w:ascii="Times New Roman" w:hAnsi="Times New Roman" w:cs="Times New Roman"/>
                  <w:noProof/>
                  <w:sz w:val="24"/>
                  <w:szCs w:val="24"/>
                </w:rPr>
              </w:pPr>
              <w:r w:rsidRPr="00970A24">
                <w:rPr>
                  <w:rFonts w:ascii="Times New Roman" w:hAnsi="Times New Roman" w:cs="Times New Roman"/>
                  <w:noProof/>
                  <w:sz w:val="24"/>
                  <w:szCs w:val="24"/>
                </w:rPr>
                <w:t xml:space="preserve">Quilter, J. (2014). One-punch laws, mandatory minimums and'alcohol-fuelled'as an aggravating factor: implications for NSW criminal law. </w:t>
              </w:r>
              <w:r w:rsidRPr="00970A24">
                <w:rPr>
                  <w:rFonts w:ascii="Times New Roman" w:hAnsi="Times New Roman" w:cs="Times New Roman"/>
                  <w:i/>
                  <w:iCs/>
                  <w:noProof/>
                  <w:sz w:val="24"/>
                  <w:szCs w:val="24"/>
                </w:rPr>
                <w:t>Internation Journalfor Crime, Justice and Social Democracy</w:t>
              </w:r>
              <w:r w:rsidRPr="00970A24">
                <w:rPr>
                  <w:rFonts w:ascii="Times New Roman" w:hAnsi="Times New Roman" w:cs="Times New Roman"/>
                  <w:noProof/>
                  <w:sz w:val="24"/>
                  <w:szCs w:val="24"/>
                </w:rPr>
                <w:t xml:space="preserve"> </w:t>
              </w:r>
              <w:r w:rsidRPr="00970A24">
                <w:rPr>
                  <w:rFonts w:ascii="Times New Roman" w:hAnsi="Times New Roman" w:cs="Times New Roman"/>
                  <w:i/>
                  <w:iCs/>
                  <w:noProof/>
                  <w:sz w:val="24"/>
                  <w:szCs w:val="24"/>
                </w:rPr>
                <w:t>, 3</w:t>
              </w:r>
              <w:r w:rsidRPr="00970A24">
                <w:rPr>
                  <w:rFonts w:ascii="Times New Roman" w:hAnsi="Times New Roman" w:cs="Times New Roman"/>
                  <w:noProof/>
                  <w:sz w:val="24"/>
                  <w:szCs w:val="24"/>
                </w:rPr>
                <w:t xml:space="preserve"> (1), 81-106.</w:t>
              </w:r>
            </w:p>
            <w:p w:rsidR="00970A24" w:rsidRPr="00970A24" w:rsidRDefault="00970A24" w:rsidP="00970A24">
              <w:pPr>
                <w:spacing w:line="480" w:lineRule="auto"/>
                <w:ind w:left="720" w:hanging="720"/>
                <w:rPr>
                  <w:rFonts w:ascii="Times New Roman" w:hAnsi="Times New Roman" w:cs="Times New Roman"/>
                  <w:sz w:val="24"/>
                  <w:szCs w:val="24"/>
                </w:rPr>
              </w:pPr>
              <w:r w:rsidRPr="00970A24">
                <w:rPr>
                  <w:rFonts w:ascii="Times New Roman" w:hAnsi="Times New Roman" w:cs="Times New Roman"/>
                  <w:sz w:val="24"/>
                  <w:szCs w:val="24"/>
                </w:rPr>
                <w:fldChar w:fldCharType="end"/>
              </w:r>
            </w:p>
          </w:sdtContent>
        </w:sdt>
      </w:sdtContent>
    </w:sdt>
    <w:p w:rsidR="007F1577" w:rsidRPr="00970A24" w:rsidRDefault="007F1577" w:rsidP="00970A24">
      <w:pPr>
        <w:spacing w:line="480" w:lineRule="auto"/>
        <w:ind w:firstLine="720"/>
        <w:rPr>
          <w:rFonts w:ascii="Times New Roman" w:hAnsi="Times New Roman" w:cs="Times New Roman"/>
          <w:sz w:val="24"/>
          <w:szCs w:val="24"/>
        </w:rPr>
      </w:pPr>
    </w:p>
    <w:sectPr w:rsidR="007F1577" w:rsidRPr="00970A24" w:rsidSect="00970A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074" w:rsidRDefault="009B6074" w:rsidP="00970A24">
      <w:pPr>
        <w:spacing w:after="0" w:line="240" w:lineRule="auto"/>
      </w:pPr>
      <w:r>
        <w:separator/>
      </w:r>
    </w:p>
  </w:endnote>
  <w:endnote w:type="continuationSeparator" w:id="1">
    <w:p w:rsidR="009B6074" w:rsidRDefault="009B6074" w:rsidP="00970A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074" w:rsidRDefault="009B6074" w:rsidP="00970A24">
      <w:pPr>
        <w:spacing w:after="0" w:line="240" w:lineRule="auto"/>
      </w:pPr>
      <w:r>
        <w:separator/>
      </w:r>
    </w:p>
  </w:footnote>
  <w:footnote w:type="continuationSeparator" w:id="1">
    <w:p w:rsidR="009B6074" w:rsidRDefault="009B6074" w:rsidP="00970A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24" w:rsidRPr="00970A24" w:rsidRDefault="00970A24">
    <w:pPr>
      <w:pStyle w:val="Header"/>
      <w:jc w:val="right"/>
      <w:rPr>
        <w:rFonts w:ascii="Times New Roman" w:hAnsi="Times New Roman" w:cs="Times New Roman"/>
        <w:sz w:val="24"/>
      </w:rPr>
    </w:pPr>
    <w:r w:rsidRPr="00970A24">
      <w:rPr>
        <w:rFonts w:ascii="Times New Roman" w:hAnsi="Times New Roman" w:cs="Times New Roman"/>
        <w:sz w:val="24"/>
      </w:rPr>
      <w:t>LAW REFORM PROCESS EFFECTIVENESS</w:t>
    </w:r>
    <w:r w:rsidRPr="00970A24">
      <w:rPr>
        <w:rFonts w:ascii="Times New Roman" w:hAnsi="Times New Roman" w:cs="Times New Roman"/>
        <w:sz w:val="24"/>
      </w:rPr>
      <w:tab/>
    </w:r>
    <w:r w:rsidRPr="00970A24">
      <w:rPr>
        <w:rFonts w:ascii="Times New Roman" w:hAnsi="Times New Roman" w:cs="Times New Roman"/>
        <w:sz w:val="24"/>
      </w:rPr>
      <w:tab/>
    </w:r>
    <w:sdt>
      <w:sdtPr>
        <w:rPr>
          <w:rFonts w:ascii="Times New Roman" w:hAnsi="Times New Roman" w:cs="Times New Roman"/>
          <w:sz w:val="24"/>
        </w:rPr>
        <w:id w:val="291221337"/>
        <w:docPartObj>
          <w:docPartGallery w:val="Page Numbers (Top of Page)"/>
          <w:docPartUnique/>
        </w:docPartObj>
      </w:sdtPr>
      <w:sdtContent>
        <w:r w:rsidRPr="00970A24">
          <w:rPr>
            <w:rFonts w:ascii="Times New Roman" w:hAnsi="Times New Roman" w:cs="Times New Roman"/>
            <w:sz w:val="24"/>
          </w:rPr>
          <w:fldChar w:fldCharType="begin"/>
        </w:r>
        <w:r w:rsidRPr="00970A24">
          <w:rPr>
            <w:rFonts w:ascii="Times New Roman" w:hAnsi="Times New Roman" w:cs="Times New Roman"/>
            <w:sz w:val="24"/>
          </w:rPr>
          <w:instrText xml:space="preserve"> PAGE   \* MERGEFORMAT </w:instrText>
        </w:r>
        <w:r w:rsidRPr="00970A24">
          <w:rPr>
            <w:rFonts w:ascii="Times New Roman" w:hAnsi="Times New Roman" w:cs="Times New Roman"/>
            <w:sz w:val="24"/>
          </w:rPr>
          <w:fldChar w:fldCharType="separate"/>
        </w:r>
        <w:r>
          <w:rPr>
            <w:rFonts w:ascii="Times New Roman" w:hAnsi="Times New Roman" w:cs="Times New Roman"/>
            <w:noProof/>
            <w:sz w:val="24"/>
          </w:rPr>
          <w:t>5</w:t>
        </w:r>
        <w:r w:rsidRPr="00970A24">
          <w:rPr>
            <w:rFonts w:ascii="Times New Roman" w:hAnsi="Times New Roman" w:cs="Times New Roman"/>
            <w:sz w:val="24"/>
          </w:rPr>
          <w:fldChar w:fldCharType="end"/>
        </w:r>
      </w:sdtContent>
    </w:sdt>
  </w:p>
  <w:p w:rsidR="00970A24" w:rsidRPr="00970A24" w:rsidRDefault="00970A2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24" w:rsidRPr="00970A24" w:rsidRDefault="00970A24">
    <w:pPr>
      <w:pStyle w:val="Header"/>
      <w:jc w:val="right"/>
      <w:rPr>
        <w:rFonts w:ascii="Times New Roman" w:hAnsi="Times New Roman" w:cs="Times New Roman"/>
        <w:sz w:val="24"/>
      </w:rPr>
    </w:pPr>
    <w:r w:rsidRPr="00970A24">
      <w:rPr>
        <w:rFonts w:ascii="Times New Roman" w:hAnsi="Times New Roman" w:cs="Times New Roman"/>
        <w:sz w:val="24"/>
      </w:rPr>
      <w:t xml:space="preserve">Running Head: LAW REFORM PROCESS EFFECTIVENESS </w:t>
    </w:r>
    <w:r w:rsidRPr="00970A24">
      <w:rPr>
        <w:rFonts w:ascii="Times New Roman" w:hAnsi="Times New Roman" w:cs="Times New Roman"/>
        <w:sz w:val="24"/>
      </w:rPr>
      <w:tab/>
    </w:r>
    <w:sdt>
      <w:sdtPr>
        <w:rPr>
          <w:rFonts w:ascii="Times New Roman" w:hAnsi="Times New Roman" w:cs="Times New Roman"/>
          <w:sz w:val="24"/>
        </w:rPr>
        <w:id w:val="291221375"/>
        <w:docPartObj>
          <w:docPartGallery w:val="Page Numbers (Top of Page)"/>
          <w:docPartUnique/>
        </w:docPartObj>
      </w:sdtPr>
      <w:sdtContent>
        <w:r w:rsidRPr="00970A24">
          <w:rPr>
            <w:rFonts w:ascii="Times New Roman" w:hAnsi="Times New Roman" w:cs="Times New Roman"/>
            <w:sz w:val="24"/>
          </w:rPr>
          <w:fldChar w:fldCharType="begin"/>
        </w:r>
        <w:r w:rsidRPr="00970A24">
          <w:rPr>
            <w:rFonts w:ascii="Times New Roman" w:hAnsi="Times New Roman" w:cs="Times New Roman"/>
            <w:sz w:val="24"/>
          </w:rPr>
          <w:instrText xml:space="preserve"> PAGE   \* MERGEFORMAT </w:instrText>
        </w:r>
        <w:r w:rsidRPr="00970A24">
          <w:rPr>
            <w:rFonts w:ascii="Times New Roman" w:hAnsi="Times New Roman" w:cs="Times New Roman"/>
            <w:sz w:val="24"/>
          </w:rPr>
          <w:fldChar w:fldCharType="separate"/>
        </w:r>
        <w:r>
          <w:rPr>
            <w:rFonts w:ascii="Times New Roman" w:hAnsi="Times New Roman" w:cs="Times New Roman"/>
            <w:noProof/>
            <w:sz w:val="24"/>
          </w:rPr>
          <w:t>1</w:t>
        </w:r>
        <w:r w:rsidRPr="00970A24">
          <w:rPr>
            <w:rFonts w:ascii="Times New Roman" w:hAnsi="Times New Roman" w:cs="Times New Roman"/>
            <w:sz w:val="24"/>
          </w:rPr>
          <w:fldChar w:fldCharType="end"/>
        </w:r>
      </w:sdtContent>
    </w:sdt>
  </w:p>
  <w:p w:rsidR="00970A24" w:rsidRPr="00970A24" w:rsidRDefault="00970A2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72541"/>
    <w:rsid w:val="00051954"/>
    <w:rsid w:val="00110241"/>
    <w:rsid w:val="001D787B"/>
    <w:rsid w:val="0024307D"/>
    <w:rsid w:val="00357BFE"/>
    <w:rsid w:val="005B7A66"/>
    <w:rsid w:val="006400AF"/>
    <w:rsid w:val="007F1577"/>
    <w:rsid w:val="007F7632"/>
    <w:rsid w:val="008D4547"/>
    <w:rsid w:val="00970A24"/>
    <w:rsid w:val="009B6074"/>
    <w:rsid w:val="00B72541"/>
    <w:rsid w:val="00C240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0A2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0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A24"/>
    <w:rPr>
      <w:rFonts w:ascii="Tahoma" w:hAnsi="Tahoma" w:cs="Tahoma"/>
      <w:sz w:val="16"/>
      <w:szCs w:val="16"/>
    </w:rPr>
  </w:style>
  <w:style w:type="character" w:customStyle="1" w:styleId="Heading1Char">
    <w:name w:val="Heading 1 Char"/>
    <w:basedOn w:val="DefaultParagraphFont"/>
    <w:link w:val="Heading1"/>
    <w:uiPriority w:val="9"/>
    <w:rsid w:val="00970A2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70A24"/>
  </w:style>
  <w:style w:type="paragraph" w:styleId="Header">
    <w:name w:val="header"/>
    <w:basedOn w:val="Normal"/>
    <w:link w:val="HeaderChar"/>
    <w:uiPriority w:val="99"/>
    <w:unhideWhenUsed/>
    <w:rsid w:val="00970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A24"/>
  </w:style>
  <w:style w:type="paragraph" w:styleId="Footer">
    <w:name w:val="footer"/>
    <w:basedOn w:val="Normal"/>
    <w:link w:val="FooterChar"/>
    <w:uiPriority w:val="99"/>
    <w:semiHidden/>
    <w:unhideWhenUsed/>
    <w:rsid w:val="00970A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0A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Aus14</b:Tag>
    <b:SourceType>InternetSite</b:SourceType>
    <b:Guid>{85708EC6-8351-419E-8539-E82FECB374C4}</b:Guid>
    <b:LCID>0</b:LCID>
    <b:Title>Explainer; Assault Causing Death in NSW 2014</b:Title>
    <b:Year>2014</b:Year>
    <b:Month>February</b:Month>
    <b:Day>5</b:Day>
    <b:Author>
      <b:Author>
        <b:Corporate>Australia's Magna Carta Institute; Rule of Law Education</b:Corporate>
      </b:Author>
    </b:Author>
    <b:InternetSiteTitle>Australia's Magna Carta Institute; Rule of Law Education</b:InternetSiteTitle>
    <b:YearAccessed>2019</b:YearAccessed>
    <b:MonthAccessed>July</b:MonthAccessed>
    <b:DayAccessed>23</b:DayAccessed>
    <b:URL>https://www.ruleoflaw.org.au/assault-causing-death-nsw/</b:URL>
    <b:RefOrder>1</b:RefOrder>
  </b:Source>
  <b:Source>
    <b:Tag>Qui14</b:Tag>
    <b:SourceType>JournalArticle</b:SourceType>
    <b:Guid>{06DAA2F3-AA86-4B9D-B9EF-166F4FEDC42A}</b:Guid>
    <b:LCID>0</b:LCID>
    <b:Author>
      <b:Author>
        <b:NameList>
          <b:Person>
            <b:Last>Quilter</b:Last>
            <b:First>Julia</b:First>
          </b:Person>
        </b:NameList>
      </b:Author>
    </b:Author>
    <b:Title>One-punch laws, mandatory minimums and'alcohol-fuelled'as an aggravating factor: implications for NSW criminal law</b:Title>
    <b:Year>2014</b:Year>
    <b:JournalName>Internation Journalfor Crime, Justice and Social Democracy</b:JournalName>
    <b:Pages>81-106</b:Pages>
    <b:Volume>3</b:Volume>
    <b:Issue>1</b:Issue>
    <b:RefOrder>2</b:RefOrder>
  </b:Source>
</b:Sources>
</file>

<file path=customXml/itemProps1.xml><?xml version="1.0" encoding="utf-8"?>
<ds:datastoreItem xmlns:ds="http://schemas.openxmlformats.org/officeDocument/2006/customXml" ds:itemID="{60D31321-B506-4556-A5C2-78BA0822A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5</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2019-07-23T08:07:00Z</dcterms:created>
  <dcterms:modified xsi:type="dcterms:W3CDTF">2019-07-23T15:30:00Z</dcterms:modified>
</cp:coreProperties>
</file>